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327F1F9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6F6070">
        <w:rPr>
          <w:lang w:eastAsia="cs-CZ"/>
        </w:rPr>
        <w:t>6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2F70896C" w:rsidR="009348E2" w:rsidRPr="00A07A54" w:rsidRDefault="00DE1138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Předběžná tržní konzultace</w:t>
      </w:r>
    </w:p>
    <w:p w14:paraId="1F22531C" w14:textId="324295BE" w:rsidR="009348E2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2840106F" w14:textId="77777777" w:rsidR="00205673" w:rsidRPr="00205673" w:rsidRDefault="00205673" w:rsidP="00205673">
      <w:pPr>
        <w:spacing w:after="4" w:line="262" w:lineRule="auto"/>
        <w:ind w:left="-5" w:hanging="10"/>
        <w:jc w:val="both"/>
        <w:rPr>
          <w:rFonts w:ascii="Verdana" w:eastAsia="Verdana" w:hAnsi="Verdana" w:cs="Verdana"/>
          <w:color w:val="000000"/>
          <w:sz w:val="2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 w:val="20"/>
          <w:szCs w:val="22"/>
          <w:lang w:eastAsia="cs-CZ"/>
        </w:rPr>
        <w:t>ve věci přípravy zadávacích podmínek na veřejnou zakázku</w:t>
      </w:r>
      <w:r w:rsidRPr="00205673">
        <w:rPr>
          <w:rFonts w:ascii="Verdana" w:eastAsia="Verdana" w:hAnsi="Verdana" w:cs="Verdana"/>
          <w:color w:val="000000"/>
          <w:sz w:val="20"/>
          <w:szCs w:val="22"/>
          <w:lang w:eastAsia="cs-CZ"/>
        </w:rPr>
        <w:t xml:space="preserve"> </w:t>
      </w:r>
      <w:r w:rsidRPr="00205673">
        <w:rPr>
          <w:rFonts w:ascii="Verdana" w:eastAsia="Verdana" w:hAnsi="Verdana" w:cs="Verdana"/>
          <w:b/>
          <w:color w:val="000000"/>
          <w:sz w:val="20"/>
          <w:szCs w:val="22"/>
          <w:lang w:eastAsia="cs-CZ"/>
        </w:rPr>
        <w:t>„Studie proveditelnosti a výhodnosti PPP projektů“</w:t>
      </w:r>
    </w:p>
    <w:p w14:paraId="3CC32846" w14:textId="77777777" w:rsidR="00205673" w:rsidRPr="00205673" w:rsidRDefault="00205673" w:rsidP="00205673">
      <w:pPr>
        <w:spacing w:after="4" w:line="262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konané dle § 33 zákona č. 134/2016 Sb., o zadávání veřejných zakázek, ve znění pozdějších předpisů    </w:t>
      </w:r>
    </w:p>
    <w:p w14:paraId="25ECD6E1" w14:textId="77777777" w:rsidR="00205673" w:rsidRPr="00205673" w:rsidRDefault="00205673" w:rsidP="00205673">
      <w:pPr>
        <w:spacing w:after="4" w:line="262" w:lineRule="auto"/>
        <w:ind w:left="-5" w:hanging="10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09FC3A3A" w14:textId="77777777" w:rsidR="00205673" w:rsidRPr="00205673" w:rsidRDefault="00205673" w:rsidP="00205673">
      <w:pPr>
        <w:spacing w:after="4" w:line="262" w:lineRule="auto"/>
        <w:ind w:left="-5" w:hanging="10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Datum </w:t>
      </w:r>
      <w:proofErr w:type="gramStart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konání: 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proofErr w:type="gramEnd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23.3.2022 </w:t>
      </w:r>
    </w:p>
    <w:p w14:paraId="2C52774C" w14:textId="77777777" w:rsidR="00205673" w:rsidRPr="00205673" w:rsidRDefault="00205673" w:rsidP="00205673">
      <w:pPr>
        <w:tabs>
          <w:tab w:val="center" w:pos="1583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72B7693C" w14:textId="77777777" w:rsidR="00205673" w:rsidRPr="00205673" w:rsidRDefault="00205673" w:rsidP="00205673">
      <w:pPr>
        <w:tabs>
          <w:tab w:val="center" w:pos="1583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Čas: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 xml:space="preserve">10,00–11.30 </w:t>
      </w:r>
    </w:p>
    <w:p w14:paraId="014D1FB5" w14:textId="77777777" w:rsidR="00205673" w:rsidRPr="00205673" w:rsidRDefault="00205673" w:rsidP="00205673">
      <w:pPr>
        <w:spacing w:after="4" w:line="262" w:lineRule="auto"/>
        <w:ind w:left="1118" w:hanging="1133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06C60E71" w14:textId="77777777" w:rsidR="00205673" w:rsidRPr="00205673" w:rsidRDefault="00205673" w:rsidP="00205673">
      <w:pPr>
        <w:spacing w:after="4" w:line="262" w:lineRule="auto"/>
        <w:ind w:left="2124" w:hanging="2139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Místo konání: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 xml:space="preserve">Správa železnic, </w:t>
      </w:r>
      <w:proofErr w:type="spellStart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s.o</w:t>
      </w:r>
      <w:proofErr w:type="spellEnd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.,</w:t>
      </w:r>
      <w:r w:rsidRPr="00205673">
        <w:rPr>
          <w:rFonts w:ascii="Verdana" w:eastAsia="Verdana" w:hAnsi="Verdana" w:cs="Verdana"/>
          <w:color w:val="000000"/>
          <w:sz w:val="12"/>
          <w:szCs w:val="22"/>
          <w:lang w:eastAsia="cs-CZ"/>
        </w:rPr>
        <w:t xml:space="preserve">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Dlážděná 1003/7, 110 00 Praha 1, kancelář 530</w:t>
      </w:r>
    </w:p>
    <w:p w14:paraId="7724B48E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562F9712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Zapsala: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 xml:space="preserve">Mgr. Jana Blechová, O3, systémový specialista  </w:t>
      </w:r>
    </w:p>
    <w:p w14:paraId="7AC369EC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35C38184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Přítomni: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>Ing. Tomáš Čoček, PhD., ředitel odboru O3</w:t>
      </w:r>
    </w:p>
    <w:p w14:paraId="284C6551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>Ing. Martin Kavka, O3, vedoucí Oddělení dotačních příležitostí</w:t>
      </w:r>
    </w:p>
    <w:p w14:paraId="15D7AF64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  <w:t>Mgr. Robin Škoda, O3, systémový specialista</w:t>
      </w:r>
    </w:p>
    <w:p w14:paraId="0E705670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06B0C8A1" w14:textId="77777777" w:rsidR="00205673" w:rsidRPr="00205673" w:rsidRDefault="00205673" w:rsidP="00205673">
      <w:pPr>
        <w:tabs>
          <w:tab w:val="center" w:pos="1626"/>
        </w:tabs>
        <w:spacing w:after="4" w:line="262" w:lineRule="auto"/>
        <w:ind w:left="-15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470D75F8" w14:textId="77777777" w:rsidR="00205673" w:rsidRPr="00205673" w:rsidRDefault="00205673" w:rsidP="00205673">
      <w:pPr>
        <w:spacing w:after="0" w:line="259" w:lineRule="auto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 </w:t>
      </w:r>
    </w:p>
    <w:p w14:paraId="6A738EBF" w14:textId="77777777" w:rsidR="00205673" w:rsidRPr="00205673" w:rsidRDefault="00205673" w:rsidP="00205673">
      <w:pPr>
        <w:spacing w:after="20" w:line="259" w:lineRule="auto"/>
        <w:ind w:left="-29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Calibri" w:eastAsia="Calibri" w:hAnsi="Calibri" w:cs="Calibri"/>
          <w:noProof/>
          <w:color w:val="000000"/>
          <w:sz w:val="22"/>
          <w:szCs w:val="22"/>
          <w:lang w:eastAsia="cs-CZ"/>
        </w:rPr>
        <mc:AlternateContent>
          <mc:Choice Requires="wpg">
            <w:drawing>
              <wp:inline distT="0" distB="0" distL="0" distR="0" wp14:anchorId="780CD666" wp14:editId="1F8A1040">
                <wp:extent cx="5562600" cy="6096"/>
                <wp:effectExtent l="0" t="0" r="0" b="0"/>
                <wp:docPr id="4571" name="Group 45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6096"/>
                          <a:chOff x="0" y="0"/>
                          <a:chExt cx="5562600" cy="6096"/>
                        </a:xfrm>
                      </wpg:grpSpPr>
                      <wps:wsp>
                        <wps:cNvPr id="5504" name="Shape 5504"/>
                        <wps:cNvSpPr/>
                        <wps:spPr>
                          <a:xfrm>
                            <a:off x="0" y="0"/>
                            <a:ext cx="5562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2600" h="9144">
                                <a:moveTo>
                                  <a:pt x="0" y="0"/>
                                </a:moveTo>
                                <a:lnTo>
                                  <a:pt x="5562600" y="0"/>
                                </a:lnTo>
                                <a:lnTo>
                                  <a:pt x="5562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A1E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A7A3A1" id="Group 4571" o:spid="_x0000_s1026" style="width:438pt;height:.5pt;mso-position-horizontal-relative:char;mso-position-vertical-relative:line" coordsize="556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">
                <v:shape id="Shape 5504" o:spid="_x0000_s1027" style="position:absolute;width:55626;height:91;visibility:visible;mso-wrap-style:square;v-text-anchor:top" coordsize="5562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" path="m,l5562600,r,9144l,9144,,e" fillcolor="#00a1e0" stroked="f" strokeweight="0">
                  <v:stroke miterlimit="83231f" joinstyle="miter"/>
                  <v:path arrowok="t" textboxrect="0,0,5562600,9144"/>
                </v:shape>
                <w10:anchorlock/>
              </v:group>
            </w:pict>
          </mc:Fallback>
        </mc:AlternateContent>
      </w:r>
    </w:p>
    <w:p w14:paraId="6E38258D" w14:textId="77777777" w:rsidR="00205673" w:rsidRPr="00205673" w:rsidRDefault="00205673" w:rsidP="00205673">
      <w:pPr>
        <w:keepNext/>
        <w:keepLines/>
        <w:spacing w:after="195" w:line="250" w:lineRule="auto"/>
        <w:ind w:left="323" w:hanging="338"/>
        <w:outlineLvl w:val="0"/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  <w:t xml:space="preserve">Informace o průběhu předběžné tržní konzultace </w:t>
      </w:r>
    </w:p>
    <w:p w14:paraId="7B058F33" w14:textId="77777777" w:rsidR="00205673" w:rsidRPr="00205673" w:rsidRDefault="00205673" w:rsidP="00205673">
      <w:pPr>
        <w:spacing w:after="243" w:line="261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Předběžná tržní konzultace (dále také jen PTK) byla uveřejněna na profilu zadavatele dne 3.3.2022 s termínem lhůty pro podání žádosti o účast do 14.3.2021 do 10,00 hodin. Dne 8.3.2022 byla lhůta pro podání žádosti o účast prodloužena do 18.3.2022 do 12,00 hodin.</w:t>
      </w:r>
    </w:p>
    <w:p w14:paraId="1F5396D5" w14:textId="77777777" w:rsidR="00205673" w:rsidRPr="00205673" w:rsidRDefault="00205673" w:rsidP="00205673">
      <w:pPr>
        <w:spacing w:after="243" w:line="261" w:lineRule="auto"/>
        <w:ind w:left="-5" w:hanging="10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V rámci předběžné tržní konzultace měli účastníci zodpovědět následující otázky: </w:t>
      </w:r>
    </w:p>
    <w:p w14:paraId="64CE343B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>Měli byste zájem o účast ve veřejné zakázce? Pokud ne, prosím uveďte důvody.</w:t>
      </w:r>
    </w:p>
    <w:p w14:paraId="55B6A6E1" w14:textId="77777777" w:rsidR="00205673" w:rsidRPr="00205673" w:rsidRDefault="00205673" w:rsidP="00205673">
      <w:pPr>
        <w:spacing w:after="200" w:line="276" w:lineRule="auto"/>
        <w:ind w:left="426"/>
        <w:contextualSpacing/>
        <w:jc w:val="both"/>
        <w:rPr>
          <w:rFonts w:ascii="Verdana" w:eastAsia="Calibri" w:hAnsi="Verdana" w:cs="Times New Roman"/>
          <w:szCs w:val="22"/>
        </w:rPr>
      </w:pPr>
    </w:p>
    <w:p w14:paraId="5B2CF1B5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  <w:u w:val="single"/>
        </w:rPr>
      </w:pPr>
      <w:r w:rsidRPr="00205673">
        <w:rPr>
          <w:rFonts w:ascii="Verdana" w:eastAsia="Calibri" w:hAnsi="Verdana" w:cs="Times New Roman"/>
          <w:szCs w:val="22"/>
        </w:rPr>
        <w:t>Jaké máte zkušenosti se zakázkami obdobného charakteru? Uveďte prosím vybrané zakázky a vaší roli na nich.</w:t>
      </w:r>
    </w:p>
    <w:p w14:paraId="6641A323" w14:textId="77777777" w:rsidR="00205673" w:rsidRPr="00205673" w:rsidRDefault="00205673" w:rsidP="00205673">
      <w:pPr>
        <w:spacing w:after="200" w:line="276" w:lineRule="auto"/>
        <w:ind w:left="720"/>
        <w:contextualSpacing/>
        <w:jc w:val="both"/>
        <w:rPr>
          <w:rFonts w:ascii="Verdana" w:eastAsia="Calibri" w:hAnsi="Verdana" w:cs="Times New Roman"/>
          <w:szCs w:val="22"/>
        </w:rPr>
      </w:pPr>
    </w:p>
    <w:p w14:paraId="7F1C759D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>Zadavatel stanovil předpokládanou hodnotu plnění. Domníváte se, že je zakázka za danou cenu realizovatelná? Pokud ne, prosím uveďte důvody a vaši odhadovanou cenu.</w:t>
      </w:r>
    </w:p>
    <w:p w14:paraId="01D90A90" w14:textId="77777777" w:rsidR="00205673" w:rsidRPr="00205673" w:rsidRDefault="00205673" w:rsidP="00205673">
      <w:pPr>
        <w:spacing w:after="200" w:line="276" w:lineRule="auto"/>
        <w:ind w:left="720"/>
        <w:contextualSpacing/>
        <w:jc w:val="both"/>
        <w:rPr>
          <w:rFonts w:ascii="Verdana" w:eastAsia="Calibri" w:hAnsi="Verdana" w:cs="Times New Roman"/>
          <w:szCs w:val="22"/>
        </w:rPr>
      </w:pPr>
    </w:p>
    <w:p w14:paraId="7E76F9F8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>Je pro Vás reálné zpracování předmětu plnění ve lhůtě 3 měsíců? Pokud ne, prosím uveďte důvody a vaši odhadovanou dobu zpracování.</w:t>
      </w:r>
    </w:p>
    <w:p w14:paraId="3560A020" w14:textId="77777777" w:rsidR="00205673" w:rsidRPr="00205673" w:rsidRDefault="00205673" w:rsidP="00205673">
      <w:pPr>
        <w:spacing w:after="200" w:line="276" w:lineRule="auto"/>
        <w:ind w:left="720"/>
        <w:contextualSpacing/>
        <w:jc w:val="both"/>
        <w:rPr>
          <w:rFonts w:ascii="Verdana" w:eastAsia="Calibri" w:hAnsi="Verdana" w:cs="Times New Roman"/>
          <w:szCs w:val="22"/>
        </w:rPr>
      </w:pPr>
    </w:p>
    <w:p w14:paraId="56EBADEF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 xml:space="preserve">Považujete předloženou dokumentaci VZ za dostatečně specifikovanou z hlediska jednotlivých parametrů? Pokud ne, prosím o sdělení, co je potřeba dle Vašeho názoru doplnit či v čem spatřujete rozpor či případné nedostatky. </w:t>
      </w:r>
    </w:p>
    <w:p w14:paraId="2A7CA083" w14:textId="77777777" w:rsidR="00205673" w:rsidRPr="00205673" w:rsidRDefault="00205673" w:rsidP="00205673">
      <w:pPr>
        <w:spacing w:after="200" w:line="276" w:lineRule="auto"/>
        <w:ind w:left="720"/>
        <w:contextualSpacing/>
        <w:jc w:val="both"/>
        <w:rPr>
          <w:rFonts w:ascii="Verdana" w:eastAsia="Calibri" w:hAnsi="Verdana" w:cs="Times New Roman"/>
          <w:szCs w:val="22"/>
        </w:rPr>
      </w:pPr>
    </w:p>
    <w:p w14:paraId="0A2690A5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lastRenderedPageBreak/>
        <w:t xml:space="preserve">Zadavatel požaduje přepočet ekonomických ukazatelů aktualizovaných dle pravidel Resortní metodiky pro hodnocení ekonomické efektivnosti projektů dopravních staveb a aktualizovat její parametry a postupy dle </w:t>
      </w:r>
      <w:proofErr w:type="spellStart"/>
      <w:r w:rsidRPr="00205673">
        <w:rPr>
          <w:rFonts w:ascii="Verdana" w:eastAsia="Calibri" w:hAnsi="Verdana" w:cs="Times New Roman"/>
          <w:szCs w:val="22"/>
        </w:rPr>
        <w:t>Vademecum</w:t>
      </w:r>
      <w:proofErr w:type="spellEnd"/>
      <w:r w:rsidRPr="00205673">
        <w:rPr>
          <w:rFonts w:ascii="Verdana" w:eastAsia="Calibri" w:hAnsi="Verdana" w:cs="Times New Roman"/>
          <w:szCs w:val="22"/>
        </w:rPr>
        <w:t xml:space="preserve"> 2021-2027. Je tento požadavek dostatečně specifikovaný a proveditelný?</w:t>
      </w:r>
    </w:p>
    <w:p w14:paraId="0487AF42" w14:textId="77777777" w:rsidR="00205673" w:rsidRPr="00205673" w:rsidRDefault="00205673" w:rsidP="00205673">
      <w:pPr>
        <w:spacing w:after="200" w:line="276" w:lineRule="auto"/>
        <w:ind w:left="720"/>
        <w:contextualSpacing/>
        <w:jc w:val="both"/>
        <w:rPr>
          <w:rFonts w:ascii="Verdana" w:eastAsia="Calibri" w:hAnsi="Verdana" w:cs="Times New Roman"/>
          <w:szCs w:val="22"/>
        </w:rPr>
      </w:pPr>
    </w:p>
    <w:p w14:paraId="645B3BFC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>Máte nějaké další doporučení, které by měl zadavatel zohlednit při přípravě daného zadávacího řízení?</w:t>
      </w:r>
    </w:p>
    <w:p w14:paraId="1B19178E" w14:textId="77777777" w:rsidR="00205673" w:rsidRPr="00205673" w:rsidRDefault="00205673" w:rsidP="00205673">
      <w:pPr>
        <w:spacing w:after="200" w:line="276" w:lineRule="auto"/>
        <w:ind w:left="720"/>
        <w:contextualSpacing/>
        <w:rPr>
          <w:rFonts w:ascii="Verdana" w:eastAsia="Calibri" w:hAnsi="Verdana" w:cs="Times New Roman"/>
          <w:szCs w:val="22"/>
        </w:rPr>
      </w:pPr>
    </w:p>
    <w:p w14:paraId="2CA9505E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 xml:space="preserve">Považujete návrh kvalifikačních kritérií za vhodně zvolený? Pokud ne, odůvodněte. </w:t>
      </w:r>
    </w:p>
    <w:p w14:paraId="767CFF4F" w14:textId="77777777" w:rsidR="00205673" w:rsidRPr="00205673" w:rsidRDefault="00205673" w:rsidP="00205673">
      <w:pPr>
        <w:spacing w:after="200" w:line="276" w:lineRule="auto"/>
        <w:ind w:left="720"/>
        <w:contextualSpacing/>
        <w:rPr>
          <w:rFonts w:ascii="Verdana" w:eastAsia="Calibri" w:hAnsi="Verdana" w:cs="Times New Roman"/>
          <w:szCs w:val="22"/>
        </w:rPr>
      </w:pPr>
    </w:p>
    <w:p w14:paraId="345B7FBF" w14:textId="77777777" w:rsidR="00205673" w:rsidRPr="00205673" w:rsidRDefault="00205673" w:rsidP="00205673">
      <w:pPr>
        <w:numPr>
          <w:ilvl w:val="0"/>
          <w:numId w:val="40"/>
        </w:numPr>
        <w:spacing w:after="200" w:line="276" w:lineRule="auto"/>
        <w:ind w:left="426" w:right="455" w:hanging="426"/>
        <w:contextualSpacing/>
        <w:jc w:val="both"/>
        <w:rPr>
          <w:rFonts w:ascii="Verdana" w:eastAsia="Calibri" w:hAnsi="Verdana" w:cs="Times New Roman"/>
          <w:szCs w:val="22"/>
        </w:rPr>
      </w:pPr>
      <w:r w:rsidRPr="00205673">
        <w:rPr>
          <w:rFonts w:ascii="Verdana" w:eastAsia="Calibri" w:hAnsi="Verdana" w:cs="Times New Roman"/>
          <w:szCs w:val="22"/>
        </w:rPr>
        <w:t xml:space="preserve">Považujete návrh hodnotících kritérií za vhodně zvolený? Pokud ne, odůvodněte.    </w:t>
      </w:r>
    </w:p>
    <w:p w14:paraId="709921C2" w14:textId="77777777" w:rsidR="00205673" w:rsidRDefault="00205673" w:rsidP="00205673">
      <w:pPr>
        <w:spacing w:after="243" w:line="261" w:lineRule="auto"/>
        <w:ind w:left="-5" w:hanging="10"/>
        <w:jc w:val="both"/>
        <w:rPr>
          <w:rFonts w:eastAsia="Verdana" w:cs="Verdana"/>
          <w:b/>
          <w:color w:val="000000"/>
          <w:lang w:eastAsia="cs-CZ"/>
        </w:rPr>
      </w:pPr>
    </w:p>
    <w:p w14:paraId="101EEED2" w14:textId="384956F1" w:rsidR="00205673" w:rsidRPr="00205673" w:rsidRDefault="00205673" w:rsidP="00205673">
      <w:pPr>
        <w:spacing w:after="243" w:line="261" w:lineRule="auto"/>
        <w:ind w:left="-5" w:hanging="10"/>
        <w:jc w:val="both"/>
        <w:rPr>
          <w:rFonts w:eastAsia="Verdana" w:cs="Verdana"/>
          <w:b/>
          <w:color w:val="000000"/>
          <w:lang w:eastAsia="cs-CZ"/>
        </w:rPr>
      </w:pPr>
      <w:r w:rsidRPr="00205673">
        <w:rPr>
          <w:rFonts w:eastAsia="Verdana" w:cs="Verdana"/>
          <w:b/>
          <w:color w:val="000000"/>
          <w:lang w:eastAsia="cs-CZ"/>
        </w:rPr>
        <w:t xml:space="preserve">Ve stanovené lhůtě zaslalo emailovou korespondencí odpovědi na otázky PTK celkem 10 účastníků: </w:t>
      </w:r>
    </w:p>
    <w:tbl>
      <w:tblPr>
        <w:tblStyle w:val="Mkatabulky1"/>
        <w:tblW w:w="9163" w:type="dxa"/>
        <w:tblInd w:w="-5" w:type="dxa"/>
        <w:tblLook w:val="04A0" w:firstRow="1" w:lastRow="0" w:firstColumn="1" w:lastColumn="0" w:noHBand="0" w:noVBand="1"/>
      </w:tblPr>
      <w:tblGrid>
        <w:gridCol w:w="3544"/>
        <w:gridCol w:w="2585"/>
        <w:gridCol w:w="1291"/>
        <w:gridCol w:w="1743"/>
      </w:tblGrid>
      <w:tr w:rsidR="00205673" w:rsidRPr="00205673" w14:paraId="1C1A07DC" w14:textId="77777777" w:rsidTr="00E244CC">
        <w:tc>
          <w:tcPr>
            <w:tcW w:w="3544" w:type="dxa"/>
          </w:tcPr>
          <w:p w14:paraId="0DBCB447" w14:textId="77777777" w:rsidR="00205673" w:rsidRPr="00205673" w:rsidRDefault="00205673" w:rsidP="00205673">
            <w:pPr>
              <w:spacing w:after="242" w:line="262" w:lineRule="auto"/>
              <w:ind w:left="10" w:right="73" w:hanging="10"/>
              <w:jc w:val="both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Název společnosti  </w:t>
            </w:r>
          </w:p>
        </w:tc>
        <w:tc>
          <w:tcPr>
            <w:tcW w:w="2585" w:type="dxa"/>
          </w:tcPr>
          <w:p w14:paraId="1B5CADEF" w14:textId="77777777" w:rsidR="00205673" w:rsidRPr="00205673" w:rsidRDefault="00205673" w:rsidP="00205673">
            <w:pPr>
              <w:spacing w:after="242" w:line="262" w:lineRule="auto"/>
              <w:ind w:right="455"/>
              <w:jc w:val="both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Adresa  </w:t>
            </w:r>
          </w:p>
        </w:tc>
        <w:tc>
          <w:tcPr>
            <w:tcW w:w="1291" w:type="dxa"/>
          </w:tcPr>
          <w:p w14:paraId="4D896EC2" w14:textId="77777777" w:rsidR="00205673" w:rsidRPr="00205673" w:rsidRDefault="00205673" w:rsidP="00205673">
            <w:pPr>
              <w:spacing w:after="242" w:line="262" w:lineRule="auto"/>
              <w:ind w:left="10" w:right="455" w:hanging="10"/>
              <w:jc w:val="both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IČ</w:t>
            </w:r>
          </w:p>
        </w:tc>
        <w:tc>
          <w:tcPr>
            <w:tcW w:w="1743" w:type="dxa"/>
          </w:tcPr>
          <w:p w14:paraId="2C6AE683" w14:textId="77777777" w:rsidR="00205673" w:rsidRPr="00205673" w:rsidRDefault="00205673" w:rsidP="00205673">
            <w:pPr>
              <w:spacing w:after="242" w:line="262" w:lineRule="auto"/>
              <w:ind w:left="10" w:right="455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Účast na PTK dne</w:t>
            </w:r>
          </w:p>
        </w:tc>
      </w:tr>
      <w:tr w:rsidR="00205673" w:rsidRPr="00205673" w14:paraId="077990BF" w14:textId="77777777" w:rsidTr="00E244CC">
        <w:tc>
          <w:tcPr>
            <w:tcW w:w="3544" w:type="dxa"/>
          </w:tcPr>
          <w:p w14:paraId="2DAC355A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Mott MacDonald CZ, spol. s r.o.</w:t>
            </w:r>
          </w:p>
        </w:tc>
        <w:tc>
          <w:tcPr>
            <w:tcW w:w="2585" w:type="dxa"/>
          </w:tcPr>
          <w:p w14:paraId="42877A8A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Národní 984/15</w:t>
            </w: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br/>
              <w:t>110 00 Praha 1</w:t>
            </w:r>
          </w:p>
          <w:p w14:paraId="6274C67D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34EF98C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48588733</w:t>
            </w:r>
          </w:p>
        </w:tc>
        <w:tc>
          <w:tcPr>
            <w:tcW w:w="1743" w:type="dxa"/>
          </w:tcPr>
          <w:p w14:paraId="66C3FAC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10.3.2022</w:t>
            </w:r>
          </w:p>
        </w:tc>
      </w:tr>
      <w:tr w:rsidR="00205673" w:rsidRPr="00205673" w14:paraId="0D06A8DB" w14:textId="77777777" w:rsidTr="00E244CC">
        <w:tc>
          <w:tcPr>
            <w:tcW w:w="3544" w:type="dxa"/>
          </w:tcPr>
          <w:p w14:paraId="5DB2B60B" w14:textId="77777777" w:rsidR="00205673" w:rsidRPr="00205673" w:rsidRDefault="00205673" w:rsidP="00205673">
            <w:pPr>
              <w:autoSpaceDE w:val="0"/>
              <w:autoSpaceDN w:val="0"/>
              <w:spacing w:line="262" w:lineRule="auto"/>
              <w:ind w:left="10" w:right="73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KPMG Česká republika, s.r.o. </w:t>
            </w:r>
          </w:p>
          <w:p w14:paraId="2BFEA8DA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585" w:type="dxa"/>
          </w:tcPr>
          <w:p w14:paraId="63A07967" w14:textId="77777777" w:rsidR="00205673" w:rsidRPr="00205673" w:rsidRDefault="00205673" w:rsidP="00205673">
            <w:pPr>
              <w:autoSpaceDE w:val="0"/>
              <w:autoSpaceDN w:val="0"/>
              <w:spacing w:line="262" w:lineRule="auto"/>
              <w:ind w:left="10" w:right="455" w:hanging="10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 xml:space="preserve">Pobřežní </w:t>
            </w:r>
            <w:proofErr w:type="gramStart"/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1a</w:t>
            </w:r>
            <w:proofErr w:type="gramEnd"/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 xml:space="preserve"> </w:t>
            </w:r>
          </w:p>
          <w:p w14:paraId="1E5E45D4" w14:textId="77777777" w:rsidR="00205673" w:rsidRPr="00205673" w:rsidRDefault="00205673" w:rsidP="00205673">
            <w:pPr>
              <w:autoSpaceDE w:val="0"/>
              <w:autoSpaceDN w:val="0"/>
              <w:spacing w:line="262" w:lineRule="auto"/>
              <w:ind w:left="10" w:right="455" w:hanging="10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186 00 Praha 8</w:t>
            </w:r>
          </w:p>
          <w:p w14:paraId="21A98E97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00CFEFA8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00553115</w:t>
            </w:r>
          </w:p>
        </w:tc>
        <w:tc>
          <w:tcPr>
            <w:tcW w:w="1743" w:type="dxa"/>
          </w:tcPr>
          <w:p w14:paraId="4429A75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15.3.2022</w:t>
            </w:r>
          </w:p>
        </w:tc>
      </w:tr>
      <w:tr w:rsidR="00205673" w:rsidRPr="00205673" w14:paraId="2E6D1F5F" w14:textId="77777777" w:rsidTr="00E244CC">
        <w:tc>
          <w:tcPr>
            <w:tcW w:w="3544" w:type="dxa"/>
          </w:tcPr>
          <w:p w14:paraId="5388811F" w14:textId="77777777" w:rsidR="00205673" w:rsidRPr="00205673" w:rsidRDefault="00205673" w:rsidP="00205673">
            <w:pPr>
              <w:spacing w:line="262" w:lineRule="auto"/>
              <w:ind w:left="10" w:right="73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Česká spořitelna, a.s.</w:t>
            </w:r>
          </w:p>
          <w:p w14:paraId="36CE5881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585" w:type="dxa"/>
          </w:tcPr>
          <w:p w14:paraId="25262954" w14:textId="77777777" w:rsidR="00205673" w:rsidRPr="00205673" w:rsidRDefault="00205673" w:rsidP="00205673">
            <w:pPr>
              <w:spacing w:line="262" w:lineRule="auto"/>
              <w:ind w:left="10" w:right="203" w:hanging="10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Olbrachtova 1929/62</w:t>
            </w:r>
          </w:p>
          <w:p w14:paraId="440C3489" w14:textId="77777777" w:rsidR="00205673" w:rsidRPr="00205673" w:rsidRDefault="00205673" w:rsidP="00205673">
            <w:pPr>
              <w:spacing w:line="262" w:lineRule="auto"/>
              <w:ind w:left="10" w:right="203" w:hanging="10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140 00 Praha 4</w:t>
            </w:r>
          </w:p>
          <w:p w14:paraId="23484E6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27F39437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45244782</w:t>
            </w:r>
          </w:p>
        </w:tc>
        <w:tc>
          <w:tcPr>
            <w:tcW w:w="1743" w:type="dxa"/>
          </w:tcPr>
          <w:p w14:paraId="4689C59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17.3.2022</w:t>
            </w:r>
          </w:p>
        </w:tc>
      </w:tr>
      <w:tr w:rsidR="00205673" w:rsidRPr="00205673" w14:paraId="3272998A" w14:textId="77777777" w:rsidTr="00E244CC">
        <w:tc>
          <w:tcPr>
            <w:tcW w:w="3544" w:type="dxa"/>
          </w:tcPr>
          <w:p w14:paraId="2B59553B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SUDOP PRAHA a.s.</w:t>
            </w:r>
          </w:p>
        </w:tc>
        <w:tc>
          <w:tcPr>
            <w:tcW w:w="2585" w:type="dxa"/>
          </w:tcPr>
          <w:p w14:paraId="1D278A7C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 xml:space="preserve">Olšanská </w:t>
            </w:r>
            <w:proofErr w:type="gramStart"/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1a</w:t>
            </w:r>
            <w:proofErr w:type="gramEnd"/>
          </w:p>
          <w:p w14:paraId="10F8668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130 80 Praha 3</w:t>
            </w:r>
          </w:p>
          <w:p w14:paraId="24830F35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52EB31E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25793349</w:t>
            </w:r>
          </w:p>
        </w:tc>
        <w:tc>
          <w:tcPr>
            <w:tcW w:w="1743" w:type="dxa"/>
          </w:tcPr>
          <w:p w14:paraId="23E56579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17.3.2022</w:t>
            </w:r>
          </w:p>
        </w:tc>
      </w:tr>
      <w:tr w:rsidR="00205673" w:rsidRPr="00205673" w14:paraId="17F194C7" w14:textId="77777777" w:rsidTr="00E244CC">
        <w:tc>
          <w:tcPr>
            <w:tcW w:w="3544" w:type="dxa"/>
          </w:tcPr>
          <w:p w14:paraId="71792104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HAVEL &amp; PARTNERS s. r. o., advokátní kancelář</w:t>
            </w:r>
          </w:p>
        </w:tc>
        <w:tc>
          <w:tcPr>
            <w:tcW w:w="2585" w:type="dxa"/>
          </w:tcPr>
          <w:p w14:paraId="4EF48725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Na Florenci 2116/15</w:t>
            </w:r>
          </w:p>
          <w:p w14:paraId="15F1777A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110 00 Praha 1</w:t>
            </w:r>
          </w:p>
          <w:p w14:paraId="6B813F69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586A92E8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264 54 807</w:t>
            </w:r>
          </w:p>
        </w:tc>
        <w:tc>
          <w:tcPr>
            <w:tcW w:w="1743" w:type="dxa"/>
          </w:tcPr>
          <w:p w14:paraId="0B92C08D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  <w:tr w:rsidR="00205673" w:rsidRPr="00205673" w14:paraId="2EED8620" w14:textId="77777777" w:rsidTr="00E244CC">
        <w:tc>
          <w:tcPr>
            <w:tcW w:w="3544" w:type="dxa"/>
          </w:tcPr>
          <w:p w14:paraId="29E54892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proofErr w:type="spellStart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PricewaterhouseCoopers</w:t>
            </w:r>
            <w:proofErr w:type="spellEnd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 Česká republika s.r.o.</w:t>
            </w:r>
          </w:p>
        </w:tc>
        <w:tc>
          <w:tcPr>
            <w:tcW w:w="2585" w:type="dxa"/>
          </w:tcPr>
          <w:p w14:paraId="5C1DDE4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</w:rPr>
              <w:fldChar w:fldCharType="begin"/>
            </w: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instrText xml:space="preserve"> HYPERLINK "https://www.google.com/maps?f=q&amp;source=embed&amp;hl=cs&amp;geocode&amp;q=Hv%C4%9Bzdova+1734/2c,+praha&amp;aq&amp;sll=49.835024,18.290407&amp;sspn=0.001955,0.004823&amp;ie=UTF8&amp;hq&amp;hnear=Hv%C4%9Bzdova+1727/2,+140+00+Praha,+Czech+Republic&amp;t=m&amp;z=14&amp;ll=50.05138,14.437568" \t "_blank" </w:instrText>
            </w:r>
            <w:r w:rsidRPr="00205673">
              <w:rPr>
                <w:rFonts w:eastAsia="Verdana" w:cs="Verdana"/>
                <w:color w:val="000000"/>
              </w:rPr>
            </w:r>
            <w:r w:rsidRPr="00205673">
              <w:rPr>
                <w:rFonts w:eastAsia="Verdana" w:cs="Verdana"/>
                <w:color w:val="000000"/>
              </w:rPr>
              <w:fldChar w:fldCharType="separate"/>
            </w: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 xml:space="preserve">Hvězdova 1734/2c </w:t>
            </w:r>
          </w:p>
          <w:p w14:paraId="00E64B4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140 00 Praha 4</w:t>
            </w:r>
            <w:r w:rsidRPr="00205673">
              <w:rPr>
                <w:rFonts w:eastAsia="Verdana" w:cs="Verdana"/>
                <w:color w:val="000000"/>
              </w:rPr>
              <w:fldChar w:fldCharType="end"/>
            </w:r>
          </w:p>
          <w:p w14:paraId="1DE39135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3E4655A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610 63 029</w:t>
            </w:r>
          </w:p>
        </w:tc>
        <w:tc>
          <w:tcPr>
            <w:tcW w:w="1743" w:type="dxa"/>
          </w:tcPr>
          <w:p w14:paraId="2B4FC962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  <w:tr w:rsidR="00205673" w:rsidRPr="00205673" w14:paraId="4815C136" w14:textId="77777777" w:rsidTr="00E244CC">
        <w:tc>
          <w:tcPr>
            <w:tcW w:w="3544" w:type="dxa"/>
          </w:tcPr>
          <w:p w14:paraId="693F4513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NEWTON Business Development, a.s.</w:t>
            </w:r>
          </w:p>
        </w:tc>
        <w:tc>
          <w:tcPr>
            <w:tcW w:w="2585" w:type="dxa"/>
          </w:tcPr>
          <w:p w14:paraId="3B49E6BC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Politických vězňů 912/10</w:t>
            </w:r>
          </w:p>
          <w:p w14:paraId="1D25854D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110 00 Praha 1</w:t>
            </w:r>
          </w:p>
          <w:p w14:paraId="4377ADF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615ACD00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27455947</w:t>
            </w:r>
          </w:p>
        </w:tc>
        <w:tc>
          <w:tcPr>
            <w:tcW w:w="1743" w:type="dxa"/>
          </w:tcPr>
          <w:p w14:paraId="73777022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  <w:tr w:rsidR="00205673" w:rsidRPr="00205673" w14:paraId="07D36A8B" w14:textId="77777777" w:rsidTr="00E244CC">
        <w:tc>
          <w:tcPr>
            <w:tcW w:w="3544" w:type="dxa"/>
          </w:tcPr>
          <w:p w14:paraId="05A20E03" w14:textId="77777777" w:rsidR="00205673" w:rsidRPr="00205673" w:rsidRDefault="00205673" w:rsidP="00205673">
            <w:pPr>
              <w:spacing w:line="262" w:lineRule="auto"/>
              <w:ind w:left="10" w:right="73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Deloitte CZ </w:t>
            </w:r>
            <w:proofErr w:type="spellStart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Services</w:t>
            </w:r>
            <w:proofErr w:type="spellEnd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 s.r.o.</w:t>
            </w:r>
          </w:p>
          <w:p w14:paraId="350030F4" w14:textId="77777777" w:rsidR="00205673" w:rsidRPr="00205673" w:rsidRDefault="00205673" w:rsidP="00205673">
            <w:pPr>
              <w:spacing w:line="261" w:lineRule="auto"/>
              <w:ind w:right="73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585" w:type="dxa"/>
          </w:tcPr>
          <w:p w14:paraId="6362CC64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Italská 2581/67</w:t>
            </w:r>
          </w:p>
          <w:p w14:paraId="60480AAB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120 00 Praha 2</w:t>
            </w:r>
          </w:p>
          <w:p w14:paraId="46CE230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6D21B1E1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05660904</w:t>
            </w:r>
          </w:p>
        </w:tc>
        <w:tc>
          <w:tcPr>
            <w:tcW w:w="1743" w:type="dxa"/>
          </w:tcPr>
          <w:p w14:paraId="40B200BF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  <w:tr w:rsidR="00205673" w:rsidRPr="00205673" w14:paraId="2FB1A03D" w14:textId="77777777" w:rsidTr="00E244CC">
        <w:tc>
          <w:tcPr>
            <w:tcW w:w="3544" w:type="dxa"/>
          </w:tcPr>
          <w:p w14:paraId="54AB1117" w14:textId="77777777" w:rsidR="00205673" w:rsidRPr="00205673" w:rsidRDefault="00205673" w:rsidP="00205673">
            <w:pPr>
              <w:spacing w:line="262" w:lineRule="auto"/>
              <w:ind w:left="10" w:right="73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proofErr w:type="spellStart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White</w:t>
            </w:r>
            <w:proofErr w:type="spellEnd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 xml:space="preserve"> &amp; Case, s.r.o., advokátní kancelář</w:t>
            </w:r>
          </w:p>
        </w:tc>
        <w:tc>
          <w:tcPr>
            <w:tcW w:w="2585" w:type="dxa"/>
          </w:tcPr>
          <w:p w14:paraId="41BB7AD8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Na Příkopě 854/14</w:t>
            </w:r>
          </w:p>
          <w:p w14:paraId="506481FD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110 00 Praha 1</w:t>
            </w:r>
          </w:p>
          <w:p w14:paraId="3ADBB8BA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</w:tcPr>
          <w:p w14:paraId="1A4A8E0A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07744536</w:t>
            </w:r>
          </w:p>
        </w:tc>
        <w:tc>
          <w:tcPr>
            <w:tcW w:w="1743" w:type="dxa"/>
          </w:tcPr>
          <w:p w14:paraId="3937E0A3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  <w:tr w:rsidR="00205673" w:rsidRPr="00205673" w14:paraId="2C7DBB8E" w14:textId="77777777" w:rsidTr="00E244CC">
        <w:tc>
          <w:tcPr>
            <w:tcW w:w="3544" w:type="dxa"/>
          </w:tcPr>
          <w:p w14:paraId="4C5D0187" w14:textId="77777777" w:rsidR="00205673" w:rsidRPr="00205673" w:rsidRDefault="00205673" w:rsidP="00205673">
            <w:pPr>
              <w:shd w:val="clear" w:color="auto" w:fill="FFFFFF"/>
              <w:ind w:right="73"/>
              <w:textAlignment w:val="baseline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  <w:proofErr w:type="spellStart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Kinstellar</w:t>
            </w:r>
            <w:proofErr w:type="spellEnd"/>
            <w:r w:rsidRPr="00205673">
              <w:rPr>
                <w:rFonts w:eastAsia="Verdana" w:cs="Verdana"/>
                <w:b/>
                <w:color w:val="000000"/>
                <w:sz w:val="18"/>
                <w:szCs w:val="18"/>
              </w:rPr>
              <w:t>, s.r.o., advokátní kancelář</w:t>
            </w:r>
          </w:p>
          <w:p w14:paraId="271068D1" w14:textId="77777777" w:rsidR="00205673" w:rsidRPr="00205673" w:rsidRDefault="00205673" w:rsidP="00205673">
            <w:pPr>
              <w:spacing w:line="262" w:lineRule="auto"/>
              <w:ind w:left="10" w:right="73" w:hanging="10"/>
              <w:rPr>
                <w:rFonts w:eastAsia="Verdana" w:cs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585" w:type="dxa"/>
          </w:tcPr>
          <w:p w14:paraId="3B91EC6C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Na příkopě 1096/19</w:t>
            </w:r>
          </w:p>
          <w:p w14:paraId="6827C48C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110 00 Praha 1</w:t>
            </w:r>
          </w:p>
        </w:tc>
        <w:tc>
          <w:tcPr>
            <w:tcW w:w="1291" w:type="dxa"/>
          </w:tcPr>
          <w:p w14:paraId="58AC1C7A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26423782</w:t>
            </w:r>
          </w:p>
        </w:tc>
        <w:tc>
          <w:tcPr>
            <w:tcW w:w="1743" w:type="dxa"/>
          </w:tcPr>
          <w:p w14:paraId="5DCD6A8E" w14:textId="77777777" w:rsidR="00205673" w:rsidRPr="00205673" w:rsidRDefault="00205673" w:rsidP="00205673">
            <w:pPr>
              <w:spacing w:line="261" w:lineRule="auto"/>
              <w:rPr>
                <w:rFonts w:eastAsia="Verdana" w:cs="Verdana"/>
                <w:color w:val="000000"/>
                <w:sz w:val="18"/>
                <w:szCs w:val="18"/>
              </w:rPr>
            </w:pPr>
            <w:r w:rsidRPr="00205673">
              <w:rPr>
                <w:rFonts w:eastAsia="Verdana" w:cs="Verdana"/>
                <w:color w:val="000000"/>
                <w:sz w:val="18"/>
                <w:szCs w:val="18"/>
              </w:rPr>
              <w:t>18.3.2022</w:t>
            </w:r>
          </w:p>
        </w:tc>
      </w:tr>
    </w:tbl>
    <w:p w14:paraId="6E90F4A0" w14:textId="77777777" w:rsidR="00205673" w:rsidRPr="00205673" w:rsidRDefault="00205673" w:rsidP="00205673">
      <w:pPr>
        <w:spacing w:after="243" w:line="261" w:lineRule="auto"/>
        <w:ind w:left="-5" w:hanging="10"/>
        <w:jc w:val="both"/>
        <w:rPr>
          <w:rFonts w:eastAsia="Verdana" w:cs="Verdana"/>
          <w:color w:val="000000"/>
          <w:lang w:eastAsia="cs-CZ"/>
        </w:rPr>
      </w:pPr>
    </w:p>
    <w:p w14:paraId="4A058740" w14:textId="77777777" w:rsidR="00205673" w:rsidRPr="00205673" w:rsidRDefault="00205673" w:rsidP="00205673">
      <w:pPr>
        <w:spacing w:after="243" w:line="261" w:lineRule="auto"/>
        <w:ind w:left="-5" w:hanging="10"/>
        <w:jc w:val="both"/>
        <w:rPr>
          <w:rFonts w:eastAsia="Verdana" w:cs="Verdana"/>
          <w:color w:val="000000"/>
          <w:lang w:eastAsia="cs-CZ"/>
        </w:rPr>
      </w:pPr>
    </w:p>
    <w:p w14:paraId="51227618" w14:textId="77777777" w:rsidR="00205673" w:rsidRPr="00205673" w:rsidRDefault="00205673" w:rsidP="00205673">
      <w:pPr>
        <w:spacing w:after="243" w:line="261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32195A60" w14:textId="77777777" w:rsidR="00205673" w:rsidRPr="00205673" w:rsidRDefault="00205673" w:rsidP="00205673">
      <w:pPr>
        <w:spacing w:after="20" w:line="259" w:lineRule="auto"/>
        <w:ind w:left="-29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Calibri" w:eastAsia="Calibri" w:hAnsi="Calibri" w:cs="Calibri"/>
          <w:noProof/>
          <w:color w:val="000000"/>
          <w:sz w:val="22"/>
          <w:szCs w:val="22"/>
          <w:lang w:eastAsia="cs-CZ"/>
        </w:rPr>
        <mc:AlternateContent>
          <mc:Choice Requires="wpg">
            <w:drawing>
              <wp:inline distT="0" distB="0" distL="0" distR="0" wp14:anchorId="0E9E3135" wp14:editId="65D27C71">
                <wp:extent cx="5562600" cy="6096"/>
                <wp:effectExtent l="0" t="0" r="0" b="0"/>
                <wp:docPr id="4258" name="Group 4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6096"/>
                          <a:chOff x="0" y="0"/>
                          <a:chExt cx="5562600" cy="6096"/>
                        </a:xfrm>
                      </wpg:grpSpPr>
                      <wps:wsp>
                        <wps:cNvPr id="5508" name="Shape 5508"/>
                        <wps:cNvSpPr/>
                        <wps:spPr>
                          <a:xfrm>
                            <a:off x="0" y="0"/>
                            <a:ext cx="5562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2600" h="9144">
                                <a:moveTo>
                                  <a:pt x="0" y="0"/>
                                </a:moveTo>
                                <a:lnTo>
                                  <a:pt x="5562600" y="0"/>
                                </a:lnTo>
                                <a:lnTo>
                                  <a:pt x="5562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A1E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0C956" id="Group 4258" o:spid="_x0000_s1026" style="width:438pt;height:.5pt;mso-position-horizontal-relative:char;mso-position-vertical-relative:line" coordsize="556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">
                <v:shape id="Shape 5508" o:spid="_x0000_s1027" style="position:absolute;width:55626;height:91;visibility:visible;mso-wrap-style:square;v-text-anchor:top" coordsize="5562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" path="m,l5562600,r,9144l,9144,,e" fillcolor="#00a1e0" stroked="f" strokeweight="0">
                  <v:stroke miterlimit="83231f" joinstyle="miter"/>
                  <v:path arrowok="t" textboxrect="0,0,5562600,9144"/>
                </v:shape>
                <w10:anchorlock/>
              </v:group>
            </w:pict>
          </mc:Fallback>
        </mc:AlternateContent>
      </w:r>
    </w:p>
    <w:p w14:paraId="11ACDEAF" w14:textId="77777777" w:rsidR="00205673" w:rsidRPr="00205673" w:rsidRDefault="00205673" w:rsidP="00205673">
      <w:pPr>
        <w:keepNext/>
        <w:keepLines/>
        <w:spacing w:after="195" w:line="250" w:lineRule="auto"/>
        <w:ind w:left="323" w:hanging="338"/>
        <w:outlineLvl w:val="0"/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  <w:lastRenderedPageBreak/>
        <w:t>Vyhodnocení odpovědí a připomínek a rozhodnutí o jejich vypořádání</w:t>
      </w:r>
    </w:p>
    <w:p w14:paraId="2FE78FD4" w14:textId="77777777" w:rsidR="00205673" w:rsidRPr="00205673" w:rsidRDefault="00205673" w:rsidP="00205673">
      <w:pPr>
        <w:spacing w:after="120" w:line="262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618590F4" w14:textId="77777777" w:rsidR="00205673" w:rsidRPr="00205673" w:rsidRDefault="00205673" w:rsidP="00205673">
      <w:pPr>
        <w:spacing w:after="120" w:line="262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Členové hodnotící komise se podrobně seznámili s odpověďmi a připomínkami jednotlivých účastníků PTK s následujícím vyhodnocením a usnesli se na jejich vypořádání takto:  </w:t>
      </w:r>
    </w:p>
    <w:p w14:paraId="5C16D1C8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727ACA22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a):</w:t>
      </w:r>
    </w:p>
    <w:p w14:paraId="6BA96A71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Všichni účastníci projevili zájem o účast ve veřejné zakázce, někteří pouze v rámci konsorcia.</w:t>
      </w:r>
    </w:p>
    <w:p w14:paraId="5D656710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Většina účastníků projevila zájem o VZ, konsorcium není vyloučené.</w:t>
      </w:r>
    </w:p>
    <w:p w14:paraId="162FADF4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Odpovědi z PTK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 xml:space="preserve"> nebudou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mít vliv na úpravu zadávací dokumentace.</w:t>
      </w:r>
    </w:p>
    <w:p w14:paraId="3E3114A6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7BF2082E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b):</w:t>
      </w:r>
    </w:p>
    <w:p w14:paraId="0F30D1C9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Účastníci většinou uvádějí podrobné zkušenosti, avšak ne všichni v oblasti PPP projektů a současně infrastrukturních projektů. Někteří mají zkušenosti pouze v rámci zahraničních partnerů.</w:t>
      </w:r>
    </w:p>
    <w:p w14:paraId="5EECD646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Většina účastníků má zkušenosti s obdobnými projekty, není vyloučeno prokázání kvalifikace </w:t>
      </w:r>
      <w:proofErr w:type="gramStart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přes  subdodavatele</w:t>
      </w:r>
      <w:proofErr w:type="gramEnd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nebo vytvoření konsorcia, tudíž tyto skutečnosti nemají vliv na zadání VZ.</w:t>
      </w:r>
    </w:p>
    <w:p w14:paraId="3EE5157E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Odpovědi z PTK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nebudou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mít vliv na úpravu zadávací dokumentace.</w:t>
      </w:r>
    </w:p>
    <w:p w14:paraId="75766959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5AB46EB8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Ad c): </w:t>
      </w:r>
    </w:p>
    <w:p w14:paraId="57087E8E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Většina účastníků PTK se domnívá, že předpokládaná hodnota je nízká, na přesné výši nepanuje shoda, reálnou hodnotu odhadují od 5,5 do 12 mil. Kč.</w:t>
      </w:r>
    </w:p>
    <w:p w14:paraId="7BEBF522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Zadavatel vnímá názor většiny účastníků PTK a tato připomínka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bude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zohledněna v zadávací dokumentaci VZ.</w:t>
      </w:r>
    </w:p>
    <w:p w14:paraId="26281A9B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6B916C85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d):</w:t>
      </w:r>
    </w:p>
    <w:p w14:paraId="44FD1DB5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Většina účastníků PTK se shoduje na lhůtě plnění v rozsahu 4-6 měsíců.</w:t>
      </w:r>
    </w:p>
    <w:p w14:paraId="3D69781A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Zadavatel vnímá názor většiny účastníků PTK a tato připomínka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bude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zohledněna v zadávací dokumentaci VZ.</w:t>
      </w:r>
    </w:p>
    <w:p w14:paraId="12316500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0BFC6587" w14:textId="77777777" w:rsidR="00205673" w:rsidRPr="00205673" w:rsidRDefault="00205673" w:rsidP="00205673">
      <w:pPr>
        <w:spacing w:after="120" w:line="262" w:lineRule="auto"/>
        <w:ind w:left="-6" w:hanging="11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e):</w:t>
      </w:r>
    </w:p>
    <w:p w14:paraId="6CCFAC2E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Co se týče specifikace jednotlivých parametrů VZ, účastníci zmiňují zejména úpravy v definování rozsahu spolupráce ze strany Správy železnic. Dále se žádá vyjasnění stupně dosud dokončené dokumentace na jednotlivých projektech.</w:t>
      </w:r>
    </w:p>
    <w:p w14:paraId="760D4D21" w14:textId="77777777" w:rsidR="00205673" w:rsidRPr="00205673" w:rsidRDefault="00205673" w:rsidP="00205673">
      <w:pPr>
        <w:spacing w:after="120" w:line="262" w:lineRule="auto"/>
        <w:ind w:left="708" w:firstLine="2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Zadavatel v zadávací dokumentaci blíže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specifikuje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svůj požadavek na zpracování rozsahu a formy spolupráce a projektového řízení v průběhu realizace díla. Dále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budou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v zadávací dokumentaci upřesněny podrobnosti projektových dokumentací. </w:t>
      </w:r>
    </w:p>
    <w:p w14:paraId="7754E4E5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0EDE136A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f):</w:t>
      </w:r>
    </w:p>
    <w:p w14:paraId="789B8479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 xml:space="preserve">U účastníků PTK převládal názor, že by přepočet neměl být integrální součástí požadovaného plnění. Není navíc zřejmý přesný rozsah požadovaného přepočtu vhledem ke komplexnosti materiálu </w:t>
      </w:r>
      <w:proofErr w:type="spellStart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Vademecum</w:t>
      </w:r>
      <w:proofErr w:type="spellEnd"/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. V případě dodefinování zadání lze řešit samostatně nebo na základě opce.</w:t>
      </w:r>
    </w:p>
    <w:p w14:paraId="0136144A" w14:textId="77777777" w:rsidR="00205673" w:rsidRPr="00205673" w:rsidRDefault="00205673" w:rsidP="00205673">
      <w:pPr>
        <w:spacing w:after="120" w:line="262" w:lineRule="auto"/>
        <w:ind w:left="705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lastRenderedPageBreak/>
        <w:t xml:space="preserve">Zadavatel souhlasí s názorem některých účastníků a po zvážení pro a proti zařazení tohoto požadavku do zadávací dokumentace se přiklání k tomu, že tento požadavek nebude součástí požadovaného plnění. Tyto připomínky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budou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zohledněny v zadávací dokumentaci VZ. </w:t>
      </w:r>
    </w:p>
    <w:p w14:paraId="12B517F4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4864A08A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g):</w:t>
      </w:r>
    </w:p>
    <w:p w14:paraId="576FBC9D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Z dalších doporučení účastníci PTK nejčastěji navrhovali jasně stanovit povinnosti klíčových expertů, respektive jejich průkaznou a aktivní práci na studii. Specifickým doporučením bylo zahrnout oblast ESG a EU taxonomie. Ostatní doporučení byla v celém komplexu zadání, věcně se však obdobně často neopakovala.</w:t>
      </w:r>
    </w:p>
    <w:p w14:paraId="74A3B989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ab/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Zadavatel vnímá doporučení účastníků a blíže specifikuje povinnosti klíčových </w:t>
      </w:r>
      <w:proofErr w:type="gramStart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expertů - tato</w:t>
      </w:r>
      <w:proofErr w:type="gramEnd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připomínka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bude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zohledněna v zadávací dokumentaci VZ. </w:t>
      </w:r>
    </w:p>
    <w:p w14:paraId="4811A931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68949058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h):</w:t>
      </w:r>
    </w:p>
    <w:p w14:paraId="26726E1D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Většinově účastníci PTK souhlasili s návrhem kvalifikačních kritérií. Nejčastější výhrady byly k požadavku na certifikaci projektového řízení PRINCE2 a na délku požadované doby zkušeností u PPP projektů. Doporučeno bylo zkrátit dobu zkušeností na 3 roky u PPP a požadavek na PRINCE 2 zcela vypustit. Z dalších zásadních připomínek byl vznesen požadavek na zkušenost v oblasti ESA2010 a autorizace u technického člena/ů týmu.</w:t>
      </w:r>
    </w:p>
    <w:p w14:paraId="0EF728D4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Na základě doporučení účastníků zadavatel upraví zadávací dokumentaci tak, že vypustí požadavek na certifikaci projektového řízení, který bude nahrazen prokázáním referencí – zkušenosti s řízením alespoň dvou obdobných projektů. Dále bude zkrácena požadovaná doba zkušeností u PPP projektů a doplněn požadavek na zkušenosti v oblasti ESA a autorizaci u technického člena týmu. Tyto připomínky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 xml:space="preserve">budou 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zohledněny v zadávací dokumentaci VZ.</w:t>
      </w:r>
    </w:p>
    <w:p w14:paraId="3AE5FBC6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23F89B98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Ad i):</w:t>
      </w:r>
    </w:p>
    <w:p w14:paraId="1375E6B2" w14:textId="77777777" w:rsidR="00205673" w:rsidRPr="00205673" w:rsidRDefault="00205673" w:rsidP="00205673">
      <w:pPr>
        <w:spacing w:after="120" w:line="262" w:lineRule="auto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U naprosté většiny účastníků převládá názor, že by měl být výrazně upraven poměr kritérií ceny a kvality. Doporučení podílu kvality se pohybuje od 50-70% váhy hodnocení.</w:t>
      </w:r>
    </w:p>
    <w:p w14:paraId="2D1FF14A" w14:textId="77777777" w:rsidR="00205673" w:rsidRPr="00205673" w:rsidRDefault="00205673" w:rsidP="00205673">
      <w:pPr>
        <w:spacing w:after="120" w:line="262" w:lineRule="auto"/>
        <w:ind w:left="703"/>
        <w:jc w:val="both"/>
        <w:rPr>
          <w:rFonts w:ascii="Verdana" w:eastAsia="Verdana" w:hAnsi="Verdana" w:cs="Verdana"/>
          <w:b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Na základě doporučení některých účastníků zadavatel po projednání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>upraví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zadávací dokumentaci tak, že změní poměr váhy hodnocení, </w:t>
      </w:r>
      <w:proofErr w:type="gramStart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zaměří</w:t>
      </w:r>
      <w:proofErr w:type="gramEnd"/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se na bližší specifikaci hodnocení nabídek. Tyto připomínky </w:t>
      </w:r>
      <w:r w:rsidRPr="00205673">
        <w:rPr>
          <w:rFonts w:ascii="Verdana" w:eastAsia="Verdana" w:hAnsi="Verdana" w:cs="Verdana"/>
          <w:b/>
          <w:color w:val="000000"/>
          <w:szCs w:val="22"/>
          <w:u w:val="single"/>
          <w:lang w:eastAsia="cs-CZ"/>
        </w:rPr>
        <w:t xml:space="preserve">budou </w:t>
      </w: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>zohledněny v zadávací dokumentaci VZ.</w:t>
      </w:r>
    </w:p>
    <w:p w14:paraId="3D786752" w14:textId="77777777" w:rsidR="00205673" w:rsidRPr="00205673" w:rsidRDefault="00205673" w:rsidP="00205673">
      <w:pPr>
        <w:spacing w:after="0" w:line="262" w:lineRule="auto"/>
        <w:ind w:left="-5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</w:p>
    <w:p w14:paraId="4F207A8C" w14:textId="77777777" w:rsidR="00205673" w:rsidRPr="00205673" w:rsidRDefault="00205673" w:rsidP="00205673">
      <w:pPr>
        <w:spacing w:after="20" w:line="259" w:lineRule="auto"/>
        <w:ind w:left="-29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Calibri" w:eastAsia="Calibri" w:hAnsi="Calibri" w:cs="Calibri"/>
          <w:noProof/>
          <w:color w:val="000000"/>
          <w:sz w:val="22"/>
          <w:szCs w:val="22"/>
          <w:lang w:eastAsia="cs-CZ"/>
        </w:rPr>
        <mc:AlternateContent>
          <mc:Choice Requires="wpg">
            <w:drawing>
              <wp:inline distT="0" distB="0" distL="0" distR="0" wp14:anchorId="56FCF21C" wp14:editId="40E10E10">
                <wp:extent cx="5562600" cy="6096"/>
                <wp:effectExtent l="0" t="0" r="0" b="0"/>
                <wp:docPr id="4259" name="Group 4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2600" cy="6096"/>
                          <a:chOff x="0" y="0"/>
                          <a:chExt cx="5562600" cy="6096"/>
                        </a:xfrm>
                      </wpg:grpSpPr>
                      <wps:wsp>
                        <wps:cNvPr id="5512" name="Shape 5512"/>
                        <wps:cNvSpPr/>
                        <wps:spPr>
                          <a:xfrm>
                            <a:off x="0" y="0"/>
                            <a:ext cx="556260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2600" h="9144">
                                <a:moveTo>
                                  <a:pt x="0" y="0"/>
                                </a:moveTo>
                                <a:lnTo>
                                  <a:pt x="5562600" y="0"/>
                                </a:lnTo>
                                <a:lnTo>
                                  <a:pt x="55626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A1E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71034C" id="Group 4259" o:spid="_x0000_s1026" style="width:438pt;height:.5pt;mso-position-horizontal-relative:char;mso-position-vertical-relative:line" coordsize="556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">
                <v:shape id="Shape 5512" o:spid="_x0000_s1027" style="position:absolute;width:55626;height:91;visibility:visible;mso-wrap-style:square;v-text-anchor:top" coordsize="55626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" path="m,l5562600,r,9144l,9144,,e" fillcolor="#00a1e0" stroked="f" strokeweight="0">
                  <v:stroke miterlimit="83231f" joinstyle="miter"/>
                  <v:path arrowok="t" textboxrect="0,0,5562600,9144"/>
                </v:shape>
                <w10:anchorlock/>
              </v:group>
            </w:pict>
          </mc:Fallback>
        </mc:AlternateContent>
      </w:r>
    </w:p>
    <w:p w14:paraId="2C0A2AD2" w14:textId="77777777" w:rsidR="00205673" w:rsidRPr="00205673" w:rsidRDefault="00205673" w:rsidP="00205673">
      <w:pPr>
        <w:keepNext/>
        <w:keepLines/>
        <w:spacing w:after="195" w:line="250" w:lineRule="auto"/>
        <w:ind w:left="323" w:hanging="338"/>
        <w:outlineLvl w:val="0"/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A1E0"/>
          <w:sz w:val="24"/>
          <w:szCs w:val="22"/>
          <w:lang w:eastAsia="cs-CZ"/>
        </w:rPr>
        <w:t>Závěr</w:t>
      </w:r>
    </w:p>
    <w:p w14:paraId="1D198B97" w14:textId="77777777" w:rsidR="00205673" w:rsidRPr="00205673" w:rsidRDefault="00205673" w:rsidP="00205673">
      <w:pPr>
        <w:spacing w:after="242" w:line="262" w:lineRule="auto"/>
        <w:ind w:left="-5" w:right="443" w:hanging="10"/>
        <w:jc w:val="both"/>
        <w:rPr>
          <w:rFonts w:ascii="Verdana" w:eastAsia="Verdana" w:hAnsi="Verdana" w:cs="Verdana"/>
          <w:color w:val="000000"/>
          <w:szCs w:val="22"/>
          <w:lang w:eastAsia="cs-CZ"/>
        </w:rPr>
      </w:pPr>
      <w:r w:rsidRPr="00205673">
        <w:rPr>
          <w:rFonts w:ascii="Verdana" w:eastAsia="Verdana" w:hAnsi="Verdana" w:cs="Verdana"/>
          <w:b/>
          <w:color w:val="000000"/>
          <w:szCs w:val="22"/>
          <w:lang w:eastAsia="cs-CZ"/>
        </w:rPr>
        <w:t xml:space="preserve"> </w:t>
      </w:r>
      <w:r w:rsidRPr="00205673">
        <w:rPr>
          <w:rFonts w:ascii="Verdana" w:eastAsia="Verdana" w:hAnsi="Verdana" w:cs="Verdana"/>
          <w:color w:val="000000"/>
          <w:szCs w:val="22"/>
          <w:lang w:eastAsia="cs-CZ"/>
        </w:rPr>
        <w:t>Na základě shora provedeného hodnocení odpovědí na jednotlivé otázky PTK rozhodl Odbor dotačního managementu o úpravě zadávací dokumentace a s ohledem na dostatečné zodpovězení všech definovaných otázek tímto předběžnou tržní konzultaci ukončuje.</w:t>
      </w:r>
    </w:p>
    <w:p w14:paraId="3F776C98" w14:textId="77777777" w:rsidR="00205673" w:rsidRPr="00A07A54" w:rsidRDefault="00205673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sectPr w:rsidR="00205673" w:rsidRPr="00A07A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8E93D" w14:textId="77777777" w:rsidR="00810C13" w:rsidRDefault="00810C13" w:rsidP="00962258">
      <w:pPr>
        <w:spacing w:after="0" w:line="240" w:lineRule="auto"/>
      </w:pPr>
      <w:r>
        <w:separator/>
      </w:r>
    </w:p>
  </w:endnote>
  <w:endnote w:type="continuationSeparator" w:id="0">
    <w:p w14:paraId="73D223A0" w14:textId="77777777" w:rsidR="00810C13" w:rsidRDefault="00810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6B1EF" w14:textId="77777777" w:rsidR="00810C13" w:rsidRDefault="00810C13" w:rsidP="00962258">
      <w:pPr>
        <w:spacing w:after="0" w:line="240" w:lineRule="auto"/>
      </w:pPr>
      <w:r>
        <w:separator/>
      </w:r>
    </w:p>
  </w:footnote>
  <w:footnote w:type="continuationSeparator" w:id="0">
    <w:p w14:paraId="7968978E" w14:textId="77777777" w:rsidR="00810C13" w:rsidRDefault="00810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3AE3177"/>
    <w:multiLevelType w:val="hybridMultilevel"/>
    <w:tmpl w:val="9BAEF4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372978">
    <w:abstractNumId w:val="4"/>
  </w:num>
  <w:num w:numId="2" w16cid:durableId="1427729361">
    <w:abstractNumId w:val="3"/>
  </w:num>
  <w:num w:numId="3" w16cid:durableId="2066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6446377">
    <w:abstractNumId w:val="12"/>
  </w:num>
  <w:num w:numId="5" w16cid:durableId="757139209">
    <w:abstractNumId w:val="6"/>
  </w:num>
  <w:num w:numId="6" w16cid:durableId="1594972994">
    <w:abstractNumId w:val="8"/>
  </w:num>
  <w:num w:numId="7" w16cid:durableId="400032130">
    <w:abstractNumId w:val="0"/>
  </w:num>
  <w:num w:numId="8" w16cid:durableId="1607035524">
    <w:abstractNumId w:val="9"/>
  </w:num>
  <w:num w:numId="9" w16cid:durableId="15094400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132317">
    <w:abstractNumId w:val="8"/>
  </w:num>
  <w:num w:numId="11" w16cid:durableId="2066761200">
    <w:abstractNumId w:val="3"/>
  </w:num>
  <w:num w:numId="12" w16cid:durableId="1315335289">
    <w:abstractNumId w:val="8"/>
  </w:num>
  <w:num w:numId="13" w16cid:durableId="1479612147">
    <w:abstractNumId w:val="8"/>
  </w:num>
  <w:num w:numId="14" w16cid:durableId="1010528909">
    <w:abstractNumId w:val="8"/>
  </w:num>
  <w:num w:numId="15" w16cid:durableId="538055328">
    <w:abstractNumId w:val="8"/>
  </w:num>
  <w:num w:numId="16" w16cid:durableId="1676151685">
    <w:abstractNumId w:val="14"/>
  </w:num>
  <w:num w:numId="17" w16cid:durableId="1987583109">
    <w:abstractNumId w:val="4"/>
  </w:num>
  <w:num w:numId="18" w16cid:durableId="90778487">
    <w:abstractNumId w:val="14"/>
  </w:num>
  <w:num w:numId="19" w16cid:durableId="543058440">
    <w:abstractNumId w:val="14"/>
  </w:num>
  <w:num w:numId="20" w16cid:durableId="2110000845">
    <w:abstractNumId w:val="14"/>
  </w:num>
  <w:num w:numId="21" w16cid:durableId="1531458318">
    <w:abstractNumId w:val="14"/>
  </w:num>
  <w:num w:numId="22" w16cid:durableId="557715216">
    <w:abstractNumId w:val="8"/>
  </w:num>
  <w:num w:numId="23" w16cid:durableId="1498036231">
    <w:abstractNumId w:val="3"/>
  </w:num>
  <w:num w:numId="24" w16cid:durableId="2085106756">
    <w:abstractNumId w:val="8"/>
  </w:num>
  <w:num w:numId="25" w16cid:durableId="1772360244">
    <w:abstractNumId w:val="8"/>
  </w:num>
  <w:num w:numId="26" w16cid:durableId="396902544">
    <w:abstractNumId w:val="8"/>
  </w:num>
  <w:num w:numId="27" w16cid:durableId="772433996">
    <w:abstractNumId w:val="8"/>
  </w:num>
  <w:num w:numId="28" w16cid:durableId="244077736">
    <w:abstractNumId w:val="14"/>
  </w:num>
  <w:num w:numId="29" w16cid:durableId="1499465402">
    <w:abstractNumId w:val="4"/>
  </w:num>
  <w:num w:numId="30" w16cid:durableId="1030186874">
    <w:abstractNumId w:val="14"/>
  </w:num>
  <w:num w:numId="31" w16cid:durableId="141655305">
    <w:abstractNumId w:val="14"/>
  </w:num>
  <w:num w:numId="32" w16cid:durableId="1218277539">
    <w:abstractNumId w:val="14"/>
  </w:num>
  <w:num w:numId="33" w16cid:durableId="2069037327">
    <w:abstractNumId w:val="14"/>
  </w:num>
  <w:num w:numId="34" w16cid:durableId="302781703">
    <w:abstractNumId w:val="1"/>
  </w:num>
  <w:num w:numId="35" w16cid:durableId="1432775013">
    <w:abstractNumId w:val="2"/>
  </w:num>
  <w:num w:numId="36" w16cid:durableId="1276719380">
    <w:abstractNumId w:val="5"/>
  </w:num>
  <w:num w:numId="37" w16cid:durableId="1043335094">
    <w:abstractNumId w:val="7"/>
  </w:num>
  <w:num w:numId="38" w16cid:durableId="2043289514">
    <w:abstractNumId w:val="15"/>
  </w:num>
  <w:num w:numId="39" w16cid:durableId="666445170">
    <w:abstractNumId w:val="11"/>
  </w:num>
  <w:num w:numId="40" w16cid:durableId="31799822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352EC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5673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C2B10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6F6070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10C13"/>
    <w:rsid w:val="008574AF"/>
    <w:rsid w:val="008640D9"/>
    <w:rsid w:val="008659F3"/>
    <w:rsid w:val="00886D4B"/>
    <w:rsid w:val="00895406"/>
    <w:rsid w:val="008A3568"/>
    <w:rsid w:val="008A6342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7767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1138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table" w:customStyle="1" w:styleId="Mkatabulky1">
    <w:name w:val="Mřížka tabulky1"/>
    <w:basedOn w:val="Normlntabulka"/>
    <w:next w:val="Mkatabulky"/>
    <w:uiPriority w:val="39"/>
    <w:rsid w:val="00205673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4</Pages>
  <Words>1158</Words>
  <Characters>6835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5</cp:revision>
  <cp:lastPrinted>2020-07-15T06:29:00Z</cp:lastPrinted>
  <dcterms:created xsi:type="dcterms:W3CDTF">2022-05-23T11:32:00Z</dcterms:created>
  <dcterms:modified xsi:type="dcterms:W3CDTF">2022-07-04T12:06:00Z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